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D2E90" w14:textId="77777777" w:rsidR="00B11DBE" w:rsidRDefault="00B11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entury Gothic" w:eastAsia="Century Gothic" w:hAnsi="Century Gothic" w:cs="Century Gothic"/>
          <w:b/>
          <w:color w:val="404040" w:themeColor="text1" w:themeTint="BF"/>
          <w:sz w:val="22"/>
          <w:szCs w:val="22"/>
          <w:lang w:val="es-HN"/>
        </w:rPr>
      </w:pPr>
      <w:bookmarkStart w:id="0" w:name="_GoBack"/>
      <w:bookmarkEnd w:id="0"/>
    </w:p>
    <w:p w14:paraId="015B6F49" w14:textId="363DD0E5" w:rsidR="001B1389" w:rsidRPr="00B11DBE" w:rsidRDefault="000667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entury Gothic" w:eastAsia="Century Gothic" w:hAnsi="Century Gothic" w:cs="Century Gothic"/>
          <w:b/>
          <w:color w:val="404040" w:themeColor="text1" w:themeTint="BF"/>
          <w:sz w:val="22"/>
          <w:szCs w:val="22"/>
          <w:lang w:val="es-HN"/>
        </w:rPr>
      </w:pPr>
      <w:r w:rsidRPr="00B11DBE">
        <w:rPr>
          <w:rFonts w:ascii="Century Gothic" w:eastAsia="Century Gothic" w:hAnsi="Century Gothic" w:cs="Century Gothic"/>
          <w:b/>
          <w:color w:val="404040" w:themeColor="text1" w:themeTint="BF"/>
          <w:sz w:val="22"/>
          <w:szCs w:val="22"/>
          <w:lang w:val="es-HN"/>
        </w:rPr>
        <w:t>COMUNICADO JURISDICCIONAL 0</w:t>
      </w:r>
      <w:r w:rsidR="00761C25" w:rsidRPr="00B11DBE">
        <w:rPr>
          <w:rFonts w:ascii="Century Gothic" w:eastAsia="Century Gothic" w:hAnsi="Century Gothic" w:cs="Century Gothic"/>
          <w:b/>
          <w:color w:val="404040" w:themeColor="text1" w:themeTint="BF"/>
          <w:sz w:val="22"/>
          <w:szCs w:val="22"/>
          <w:lang w:val="es-HN"/>
        </w:rPr>
        <w:t>7</w:t>
      </w:r>
      <w:r w:rsidRPr="00B11DBE">
        <w:rPr>
          <w:rFonts w:ascii="Century Gothic" w:eastAsia="Century Gothic" w:hAnsi="Century Gothic" w:cs="Century Gothic"/>
          <w:b/>
          <w:color w:val="404040" w:themeColor="text1" w:themeTint="BF"/>
          <w:sz w:val="22"/>
          <w:szCs w:val="22"/>
          <w:lang w:val="es-HN"/>
        </w:rPr>
        <w:t>/2021</w:t>
      </w:r>
    </w:p>
    <w:p w14:paraId="2BC8F520" w14:textId="2F464936" w:rsidR="001B1389" w:rsidRPr="00B11DBE" w:rsidRDefault="00066785" w:rsidP="002D6B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El Tribunal de Justicia Electoral a la ciudadanía en general y medios de comunicación informa</w:t>
      </w:r>
      <w:r w:rsidR="00CE15E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BA4AD5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q</w:t>
      </w:r>
      <w:r w:rsidR="00CE15E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ue en fecha ocho (8) de abril de dos mil veintiuno (2021)</w:t>
      </w:r>
      <w:r w:rsidR="006003B3" w:rsidRPr="00B11DBE">
        <w:rPr>
          <w:color w:val="404040" w:themeColor="text1" w:themeTint="BF"/>
          <w:sz w:val="22"/>
          <w:szCs w:val="22"/>
          <w:lang w:val="es-HN"/>
        </w:rPr>
        <w:t xml:space="preserve"> </w:t>
      </w:r>
      <w:r w:rsidR="006003B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después de analizar a profundidad </w:t>
      </w:r>
      <w:r w:rsidR="00B02BF0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los </w:t>
      </w:r>
      <w:r w:rsidR="006003B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expedientes de mérito, en nombre del Estado de Honduras</w:t>
      </w:r>
      <w:r w:rsidR="007819A6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y</w:t>
      </w:r>
      <w:r w:rsidR="006003B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en aplicación de la normativa nacional e internacional vigente</w:t>
      </w:r>
      <w:r w:rsidR="00B96A17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,</w:t>
      </w:r>
      <w:r w:rsidR="00CE15E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emitió</w:t>
      </w:r>
      <w:r w:rsidR="00B7148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sentencia</w:t>
      </w:r>
      <w:r w:rsidR="00D0393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</w:t>
      </w:r>
      <w:r w:rsidR="00B7148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sobre los casos siguientes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:</w:t>
      </w:r>
    </w:p>
    <w:p w14:paraId="33640D3B" w14:textId="77777777" w:rsidR="006250AA" w:rsidRPr="00B11DBE" w:rsidRDefault="006250AA" w:rsidP="002D6B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7FE63A7E" w14:textId="54C53865" w:rsidR="00626400" w:rsidRPr="00B11DBE" w:rsidRDefault="006D590B" w:rsidP="002D6B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  <w:bookmarkStart w:id="1" w:name="_gjdgxs" w:colFirst="0" w:colLast="0"/>
      <w:bookmarkEnd w:id="1"/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Solicitudes de Nulidad Absoluta</w:t>
      </w:r>
      <w:r w:rsidR="00DC115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en contra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de la Resolución PAC-001-2019 dictada por el Tribunal de Honor del Partido Anticorrupción de Honduras (PAC)</w:t>
      </w:r>
      <w:r w:rsidR="00B96A17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el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22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de julio de 2019, presentadas por los Abogados Walter Alex Banegas Aguilera y Rafael Virgilio Padilla Paz en la que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se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ordena su expulsión de dicho partido</w:t>
      </w:r>
      <w:r w:rsidR="00123A2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. </w:t>
      </w:r>
      <w:bookmarkStart w:id="2" w:name="_Hlk68826996"/>
      <w:r w:rsidR="00123A2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El </w:t>
      </w:r>
      <w:r w:rsidR="00123A2B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TJE</w:t>
      </w:r>
      <w:r w:rsidR="00123A2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D0393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por </w:t>
      </w:r>
      <w:r w:rsidR="00F87FAE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 xml:space="preserve">UNANIMIDAD DE VOTOS, FALLO: </w:t>
      </w:r>
      <w:bookmarkEnd w:id="2"/>
      <w:r w:rsidR="00F87FAE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 xml:space="preserve">DECLARAR </w:t>
      </w:r>
      <w:r w:rsidR="00123A2B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CON</w:t>
      </w:r>
      <w:r w:rsidR="00F87FAE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 xml:space="preserve"> LUGAR</w:t>
      </w:r>
      <w:r w:rsidR="00123A2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A70E9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dichas </w:t>
      </w:r>
      <w:r w:rsidR="001D1E49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solicitudes de Nulidad Absoluta</w:t>
      </w:r>
      <w:r w:rsidR="00C42218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, </w:t>
      </w:r>
      <w:r w:rsidR="00664F5D" w:rsidRPr="00B11DBE">
        <w:rPr>
          <w:rStyle w:val="Ninguno"/>
          <w:rFonts w:ascii="Century Gothic" w:hAnsi="Century Gothic" w:cs="Courier New"/>
          <w:color w:val="404040" w:themeColor="text1" w:themeTint="BF"/>
          <w:sz w:val="22"/>
          <w:szCs w:val="22"/>
        </w:rPr>
        <w:t>en virtud</w:t>
      </w:r>
      <w:r w:rsidR="00664F5D" w:rsidRPr="00B11DBE">
        <w:rPr>
          <w:rFonts w:ascii="Century Gothic" w:hAnsi="Century Gothic" w:cs="Courier New"/>
          <w:color w:val="404040" w:themeColor="text1" w:themeTint="BF"/>
          <w:sz w:val="22"/>
          <w:szCs w:val="22"/>
          <w:lang w:val="es-ES"/>
        </w:rPr>
        <w:t xml:space="preserve"> que los procedimientos y faltas establecidas en los estatutos reformados en el año dos mil diecinueve (2019), no pueden ser aplicables de manera retroactiva al caso concreto</w:t>
      </w:r>
      <w:r w:rsidR="00C42218" w:rsidRPr="00B11DBE">
        <w:rPr>
          <w:rFonts w:ascii="Century Gothic" w:hAnsi="Century Gothic" w:cs="Courier New"/>
          <w:color w:val="404040" w:themeColor="text1" w:themeTint="BF"/>
          <w:sz w:val="22"/>
          <w:szCs w:val="22"/>
          <w:lang w:val="es-ES"/>
        </w:rPr>
        <w:t xml:space="preserve">, estando </w:t>
      </w:r>
      <w:r w:rsidR="00664F5D" w:rsidRPr="00B11DBE">
        <w:rPr>
          <w:rFonts w:ascii="Century Gothic" w:hAnsi="Century Gothic" w:cs="Courier New"/>
          <w:color w:val="404040" w:themeColor="text1" w:themeTint="BF"/>
          <w:sz w:val="22"/>
          <w:szCs w:val="22"/>
          <w:lang w:val="es-ES"/>
        </w:rPr>
        <w:t xml:space="preserve"> prohibido una doble imputación y un doble juzgamiento o investigación por los mismos hechos</w:t>
      </w:r>
      <w:r w:rsidR="00C42218" w:rsidRPr="00B11DBE">
        <w:rPr>
          <w:rFonts w:ascii="Century Gothic" w:hAnsi="Century Gothic" w:cs="Courier New"/>
          <w:color w:val="404040" w:themeColor="text1" w:themeTint="BF"/>
          <w:sz w:val="22"/>
          <w:szCs w:val="22"/>
          <w:lang w:val="es-ES"/>
        </w:rPr>
        <w:t xml:space="preserve">, por lo anterior se </w:t>
      </w:r>
      <w:r w:rsidR="001D1E49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ANULA</w:t>
      </w:r>
      <w:r w:rsidR="003C73BD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1D1E49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la Resolución </w:t>
      </w:r>
      <w:r w:rsidR="004E35B8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en </w:t>
      </w:r>
      <w:r w:rsidR="00E15655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mención</w:t>
      </w:r>
      <w:r w:rsidR="00161341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, </w:t>
      </w:r>
      <w:r w:rsidR="00B96A17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y se</w:t>
      </w:r>
      <w:r w:rsidR="00161341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t</w:t>
      </w:r>
      <w:r w:rsidR="00B96A17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iene</w:t>
      </w:r>
      <w:r w:rsidR="00161341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1D1E49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por reconocida la militancia y pertenencia como miembros del Partido Anticorrupción de Honduras (PAC) a </w:t>
      </w:r>
      <w:r w:rsidR="005B4EE8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estos</w:t>
      </w:r>
      <w:r w:rsidR="001D1E49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ciudadanos, con todas las garantías de sus derechos políticos. </w:t>
      </w:r>
    </w:p>
    <w:p w14:paraId="4BF74434" w14:textId="77777777" w:rsidR="005D7DB9" w:rsidRPr="00B11DBE" w:rsidRDefault="005D7DB9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725A75D2" w14:textId="0FE20158" w:rsidR="006250AA" w:rsidRPr="00B11DBE" w:rsidRDefault="007B701A" w:rsidP="002D6B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  <w:bookmarkStart w:id="3" w:name="_Hlk68826008"/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Solicitud</w:t>
      </w:r>
      <w:r w:rsidR="0026509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de Nulidad Absoluta </w:t>
      </w:r>
      <w:r w:rsidR="0026509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de un acto administrativo, llevado a cabo durante la Sesión Ordinaria de fecha 19 de agosto de 2020, de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l</w:t>
      </w:r>
      <w:r w:rsidR="0026509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C</w:t>
      </w:r>
      <w:r w:rsidR="0073379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onsejo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C</w:t>
      </w:r>
      <w:r w:rsidR="0073379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entral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</w:t>
      </w:r>
      <w:r w:rsidR="0073379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jecutico del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P</w:t>
      </w:r>
      <w:r w:rsidR="0073379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artido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L</w:t>
      </w:r>
      <w:r w:rsidR="0073379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iberal de </w:t>
      </w:r>
      <w:r w:rsidR="006250A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H</w:t>
      </w:r>
      <w:r w:rsidR="0073379C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onduras</w:t>
      </w:r>
      <w:r w:rsidR="00242EF8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(CCEPLH)</w:t>
      </w:r>
      <w:r w:rsidR="00AF40A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,e</w:t>
      </w:r>
      <w:r w:rsidR="00265093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n virtud de haberse </w:t>
      </w:r>
      <w:r w:rsidR="008B59EE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infringido el ordenamiento jurídico</w:t>
      </w:r>
      <w:r w:rsidR="00357FF4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B5637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por haber sido dictado el acto de </w:t>
      </w:r>
      <w:r w:rsidR="008B59EE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nombramiento del Director del Instituto de la Juventud Liberal “INJUVEL”</w:t>
      </w:r>
      <w:r w:rsidR="00BE3F5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, </w:t>
      </w:r>
      <w:r w:rsidR="00B5637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sin haberse seguido el procedimiento establecido, </w:t>
      </w:r>
      <w:r w:rsidR="00BE3F5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B5637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presentada por la</w:t>
      </w:r>
      <w:r w:rsidR="00BE3F5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señora </w:t>
      </w:r>
      <w:r w:rsidR="000F0F3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Aixa Gabriela Zelaya Gómez</w:t>
      </w:r>
      <w:r w:rsidR="00BE3F5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, Secretaria de la Juventud del Partido Liberal de Honduras</w:t>
      </w:r>
      <w:r w:rsidR="00130326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.</w:t>
      </w:r>
      <w:r w:rsidR="004F30BA" w:rsidRPr="00B11DBE">
        <w:rPr>
          <w:color w:val="404040" w:themeColor="text1" w:themeTint="BF"/>
          <w:sz w:val="22"/>
          <w:szCs w:val="22"/>
          <w:lang w:val="es-HN"/>
        </w:rPr>
        <w:t xml:space="preserve"> </w:t>
      </w:r>
      <w:r w:rsidR="004F30B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El </w:t>
      </w:r>
      <w:r w:rsidR="004F30BA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TJE</w:t>
      </w:r>
      <w:r w:rsidR="004F30B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por </w:t>
      </w:r>
      <w:r w:rsidR="004F30BA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UNANIMIDAD DE VOTOS, FALLO</w:t>
      </w:r>
      <w:r w:rsidR="004F30B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: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FA209B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SIN LUGAR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la Impugnación del acto tácito de una supuesta suspensión de funciones del cargo de Secretaría de la Juventud de la ciudadana Zelaya Gómez</w:t>
      </w:r>
      <w:r w:rsidR="00D04A35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B5637F" w:rsidRPr="00B11DBE">
        <w:rPr>
          <w:rStyle w:val="Ninguno"/>
          <w:rFonts w:ascii="Century Gothic" w:hAnsi="Century Gothic"/>
          <w:color w:val="404040" w:themeColor="text1" w:themeTint="BF"/>
          <w:sz w:val="22"/>
          <w:szCs w:val="22"/>
        </w:rPr>
        <w:t>en virtud de que no consta en autos que esta estuviera legalmente suspendida o que hubiese cesado en el cargo para el cual fue electa</w:t>
      </w:r>
      <w:r w:rsidR="00B5637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730CDA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y </w:t>
      </w:r>
      <w:r w:rsidR="00FA209B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CON LUGAR LA NULIDAD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del acto de nombramiento de</w:t>
      </w:r>
      <w:r w:rsidR="009F7406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l señor Paul Emilio Zelada</w:t>
      </w:r>
      <w:r w:rsidR="00242EF8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,</w:t>
      </w:r>
      <w:r w:rsidR="009F7406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como 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Director del Instituto de la Juventud 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(INJUVEL) 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adoptado </w:t>
      </w:r>
      <w:r w:rsidR="00201B0E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por el Consejo Central Ejecutivo del Parrtido  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en la sesión ordinaria celebrada en fecha 19 de agosto de 2020</w:t>
      </w:r>
      <w:r w:rsidR="00B5637F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, por lo anterior se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FA209B" w:rsidRPr="00B11DBE">
        <w:rPr>
          <w:rFonts w:ascii="Century Gothic" w:eastAsia="Century Gothic" w:hAnsi="Century Gothic" w:cs="Century Gothic"/>
          <w:b/>
          <w:bCs/>
          <w:color w:val="404040" w:themeColor="text1" w:themeTint="BF"/>
          <w:sz w:val="22"/>
          <w:szCs w:val="22"/>
          <w:lang w:val="es-HN"/>
        </w:rPr>
        <w:t>ANULA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dicho</w:t>
      </w:r>
      <w:r w:rsidR="00FA209B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nombramiento, por haberse infringido el procedimiento establecido. </w:t>
      </w:r>
    </w:p>
    <w:p w14:paraId="67490874" w14:textId="77777777" w:rsidR="005D7DB9" w:rsidRDefault="005D7DB9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71C008BA" w14:textId="77777777" w:rsidR="00B11DBE" w:rsidRDefault="00B11DBE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15F16A50" w14:textId="77777777" w:rsidR="00B11DBE" w:rsidRDefault="00B11DBE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69882D84" w14:textId="77777777" w:rsidR="00B11DBE" w:rsidRDefault="00B11DBE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439AA6E1" w14:textId="77777777" w:rsidR="00B11DBE" w:rsidRDefault="00B11DBE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10170AB7" w14:textId="77777777" w:rsidR="00B11DBE" w:rsidRPr="00B11DBE" w:rsidRDefault="00B11DBE" w:rsidP="005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bookmarkEnd w:id="3"/>
    <w:p w14:paraId="6983AD9F" w14:textId="1FB5C0F4" w:rsidR="001B1389" w:rsidRPr="00B11DBE" w:rsidRDefault="00066785" w:rsidP="002D6B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jc w:val="both"/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Contra </w:t>
      </w:r>
      <w:r w:rsidR="005D7DB9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estas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entencia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no cabe recurso alguno, sin perjuicio de lo dispuesto en la Ley Sobre Justicia Constitucional. Sentencia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que fue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ron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emitida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y notificada</w:t>
      </w:r>
      <w:r w:rsidR="006F4402"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>s</w:t>
      </w:r>
      <w:r w:rsidRPr="00B11DBE"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  <w:t xml:space="preserve"> en legal y debida forma.</w:t>
      </w:r>
    </w:p>
    <w:p w14:paraId="0D403C9A" w14:textId="77777777" w:rsidR="001B1389" w:rsidRPr="00B11DBE" w:rsidRDefault="001B1389" w:rsidP="002D6B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22698E04" w14:textId="77777777" w:rsidR="00B5637F" w:rsidRDefault="00B5637F" w:rsidP="002D6B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5F02B9A3" w14:textId="77777777" w:rsidR="00B11DBE" w:rsidRPr="00B11DBE" w:rsidRDefault="00B11DBE" w:rsidP="002D6B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404040" w:themeColor="text1" w:themeTint="BF"/>
          <w:sz w:val="22"/>
          <w:szCs w:val="22"/>
          <w:lang w:val="es-HN"/>
        </w:rPr>
      </w:pPr>
    </w:p>
    <w:p w14:paraId="4136D201" w14:textId="7B800656" w:rsidR="002D6B3E" w:rsidRPr="00201B0E" w:rsidRDefault="00066785" w:rsidP="002D6B3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Helvetica Neue" w:eastAsia="Helvetica Neue" w:hAnsi="Helvetica Neue" w:cs="Helvetica Neue"/>
          <w:color w:val="404040" w:themeColor="text1" w:themeTint="BF"/>
          <w:sz w:val="20"/>
          <w:szCs w:val="20"/>
          <w:lang w:val="es-HN"/>
        </w:rPr>
      </w:pPr>
      <w:r w:rsidRPr="00201B0E"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HN"/>
        </w:rPr>
        <w:t xml:space="preserve">Tegucigalpa, M.D.C., </w:t>
      </w:r>
      <w:r w:rsidR="00761C25" w:rsidRPr="00201B0E"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HN"/>
        </w:rPr>
        <w:t>9 de abril</w:t>
      </w:r>
      <w:r w:rsidRPr="00201B0E">
        <w:rPr>
          <w:rFonts w:ascii="Century Gothic" w:eastAsia="Century Gothic" w:hAnsi="Century Gothic" w:cs="Century Gothic"/>
          <w:color w:val="404040" w:themeColor="text1" w:themeTint="BF"/>
          <w:sz w:val="20"/>
          <w:szCs w:val="20"/>
          <w:lang w:val="es-HN"/>
        </w:rPr>
        <w:t xml:space="preserve"> de 2021.</w:t>
      </w:r>
    </w:p>
    <w:sectPr w:rsidR="002D6B3E" w:rsidRPr="00201B0E">
      <w:headerReference w:type="default" r:id="rId7"/>
      <w:footerReference w:type="default" r:id="rId8"/>
      <w:pgSz w:w="12240" w:h="15840"/>
      <w:pgMar w:top="1440" w:right="1440" w:bottom="1440" w:left="1440" w:header="288" w:footer="1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4653" w14:textId="77777777" w:rsidR="00E417A6" w:rsidRDefault="00E417A6">
      <w:r>
        <w:separator/>
      </w:r>
    </w:p>
  </w:endnote>
  <w:endnote w:type="continuationSeparator" w:id="0">
    <w:p w14:paraId="28FF6FBD" w14:textId="77777777" w:rsidR="00E417A6" w:rsidRDefault="00E4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16103" w14:textId="77777777" w:rsidR="001B1389" w:rsidRDefault="001B1389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Helvetica Neue" w:eastAsia="Helvetica Neue" w:hAnsi="Helvetica Neue" w:cs="Helvetica Neue"/>
        <w:color w:val="000000"/>
      </w:rPr>
    </w:pPr>
  </w:p>
  <w:p w14:paraId="2CF34DEA" w14:textId="77777777" w:rsidR="001B1389" w:rsidRDefault="00066785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  <w:r w:rsidRPr="000B7BEF">
      <w:rPr>
        <w:rFonts w:ascii="Helvetica Neue" w:eastAsia="Helvetica Neue" w:hAnsi="Helvetica Neue" w:cs="Helvetica Neue"/>
        <w:color w:val="000000"/>
        <w:sz w:val="16"/>
        <w:szCs w:val="16"/>
        <w:lang w:val="es-HN"/>
      </w:rPr>
      <w:t xml:space="preserve">Edificio Anexo IPM, Quinto Nivel, Boulevard Centroamerica, contiguo a INPREMA, Tegucigalpa, MDC. </w:t>
    </w:r>
    <w:r>
      <w:rPr>
        <w:rFonts w:ascii="Helvetica Neue" w:eastAsia="Helvetica Neue" w:hAnsi="Helvetica Neue" w:cs="Helvetica Neue"/>
        <w:color w:val="000000"/>
        <w:sz w:val="16"/>
        <w:szCs w:val="16"/>
      </w:rPr>
      <w:t>Honduras 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16A1" w14:textId="77777777" w:rsidR="00E417A6" w:rsidRDefault="00E417A6">
      <w:r>
        <w:separator/>
      </w:r>
    </w:p>
  </w:footnote>
  <w:footnote w:type="continuationSeparator" w:id="0">
    <w:p w14:paraId="338C36AD" w14:textId="77777777" w:rsidR="00E417A6" w:rsidRDefault="00E4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06BA" w14:textId="77777777" w:rsidR="001B1389" w:rsidRDefault="001B13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color w:val="000000"/>
        <w:sz w:val="20"/>
        <w:szCs w:val="20"/>
      </w:rPr>
    </w:pPr>
  </w:p>
  <w:p w14:paraId="35A3D3A1" w14:textId="77777777" w:rsidR="001B1389" w:rsidRDefault="00066785">
    <w:pPr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b/>
        <w:color w:val="000000"/>
        <w:sz w:val="28"/>
        <w:szCs w:val="28"/>
      </w:rPr>
    </w:pPr>
    <w:r>
      <w:rPr>
        <w:rFonts w:ascii="Book Antiqua" w:eastAsia="Book Antiqua" w:hAnsi="Book Antiqua" w:cs="Book Antiqua"/>
        <w:b/>
        <w:noProof/>
        <w:color w:val="000000"/>
        <w:sz w:val="28"/>
        <w:szCs w:val="28"/>
        <w:lang w:val="es-HN" w:eastAsia="es-HN"/>
      </w:rPr>
      <w:drawing>
        <wp:inline distT="0" distB="0" distL="0" distR="0" wp14:anchorId="01CD26FC" wp14:editId="365D4BC4">
          <wp:extent cx="819150" cy="8382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color w:val="000000"/>
        <w:sz w:val="28"/>
        <w:szCs w:val="28"/>
      </w:rPr>
      <w:tab/>
    </w:r>
  </w:p>
  <w:p w14:paraId="68FA9AF5" w14:textId="77777777" w:rsidR="001B1389" w:rsidRPr="000B7BEF" w:rsidRDefault="00066785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ook Antiqua" w:eastAsia="Book Antiqua" w:hAnsi="Book Antiqua" w:cs="Book Antiqua"/>
        <w:b/>
        <w:color w:val="000000"/>
        <w:lang w:val="es-HN"/>
      </w:rPr>
    </w:pPr>
    <w:r w:rsidRPr="000B7BEF">
      <w:rPr>
        <w:rFonts w:ascii="Book Antiqua" w:eastAsia="Book Antiqua" w:hAnsi="Book Antiqua" w:cs="Book Antiqua"/>
        <w:b/>
        <w:color w:val="000000"/>
        <w:lang w:val="es-HN"/>
      </w:rPr>
      <w:t>TRIBUNAL DE JUSTICIA ELECTORAL</w:t>
    </w:r>
  </w:p>
  <w:p w14:paraId="7117902D" w14:textId="77777777" w:rsidR="001B1389" w:rsidRPr="000B7BEF" w:rsidRDefault="00066785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Helvetica Neue" w:eastAsia="Helvetica Neue" w:hAnsi="Helvetica Neue" w:cs="Helvetica Neue"/>
        <w:color w:val="000000"/>
        <w:sz w:val="22"/>
        <w:szCs w:val="22"/>
        <w:lang w:val="es-HN"/>
      </w:rPr>
    </w:pPr>
    <w:r w:rsidRPr="000B7BEF">
      <w:rPr>
        <w:rFonts w:ascii="Book Antiqua" w:eastAsia="Book Antiqua" w:hAnsi="Book Antiqua" w:cs="Book Antiqua"/>
        <w:b/>
        <w:color w:val="000000"/>
        <w:sz w:val="18"/>
        <w:szCs w:val="18"/>
        <w:lang w:val="es-HN"/>
      </w:rPr>
      <w:t>GARANTIZANDO JUSTICIA ELECTORAL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47683"/>
    <w:multiLevelType w:val="multilevel"/>
    <w:tmpl w:val="81DE9AD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89"/>
    <w:rsid w:val="000429C9"/>
    <w:rsid w:val="00066785"/>
    <w:rsid w:val="000B7BEF"/>
    <w:rsid w:val="000F0F32"/>
    <w:rsid w:val="00123A2B"/>
    <w:rsid w:val="00130326"/>
    <w:rsid w:val="00161341"/>
    <w:rsid w:val="001B1389"/>
    <w:rsid w:val="001D1E49"/>
    <w:rsid w:val="00201B0E"/>
    <w:rsid w:val="0024078D"/>
    <w:rsid w:val="00242EF8"/>
    <w:rsid w:val="00265093"/>
    <w:rsid w:val="002D6B3E"/>
    <w:rsid w:val="003249A4"/>
    <w:rsid w:val="00344717"/>
    <w:rsid w:val="00357FF4"/>
    <w:rsid w:val="00372FCD"/>
    <w:rsid w:val="003B3252"/>
    <w:rsid w:val="003C73BD"/>
    <w:rsid w:val="00400CC5"/>
    <w:rsid w:val="00493158"/>
    <w:rsid w:val="004A13DD"/>
    <w:rsid w:val="004E35B8"/>
    <w:rsid w:val="004F30BA"/>
    <w:rsid w:val="004F5A20"/>
    <w:rsid w:val="005138BA"/>
    <w:rsid w:val="0051611C"/>
    <w:rsid w:val="00586025"/>
    <w:rsid w:val="005B4EE8"/>
    <w:rsid w:val="005D7DB9"/>
    <w:rsid w:val="006003B3"/>
    <w:rsid w:val="006220D2"/>
    <w:rsid w:val="006250AA"/>
    <w:rsid w:val="00626400"/>
    <w:rsid w:val="00664F5D"/>
    <w:rsid w:val="0068542F"/>
    <w:rsid w:val="006D590B"/>
    <w:rsid w:val="006F4402"/>
    <w:rsid w:val="007018D1"/>
    <w:rsid w:val="00730CDA"/>
    <w:rsid w:val="0073379C"/>
    <w:rsid w:val="00761C25"/>
    <w:rsid w:val="007819A6"/>
    <w:rsid w:val="007B701A"/>
    <w:rsid w:val="007D16A9"/>
    <w:rsid w:val="0084074C"/>
    <w:rsid w:val="008B59EE"/>
    <w:rsid w:val="008E6D41"/>
    <w:rsid w:val="00994F78"/>
    <w:rsid w:val="0099511C"/>
    <w:rsid w:val="009F7406"/>
    <w:rsid w:val="00A70E92"/>
    <w:rsid w:val="00AF40A2"/>
    <w:rsid w:val="00B02BF0"/>
    <w:rsid w:val="00B05568"/>
    <w:rsid w:val="00B11DBE"/>
    <w:rsid w:val="00B5637F"/>
    <w:rsid w:val="00B7148C"/>
    <w:rsid w:val="00B96A17"/>
    <w:rsid w:val="00BA4AD5"/>
    <w:rsid w:val="00BE3F52"/>
    <w:rsid w:val="00C067A8"/>
    <w:rsid w:val="00C42218"/>
    <w:rsid w:val="00C574EE"/>
    <w:rsid w:val="00C8671F"/>
    <w:rsid w:val="00CE15E2"/>
    <w:rsid w:val="00CF3525"/>
    <w:rsid w:val="00D0393F"/>
    <w:rsid w:val="00D04A35"/>
    <w:rsid w:val="00D07F5C"/>
    <w:rsid w:val="00D2277F"/>
    <w:rsid w:val="00DC115C"/>
    <w:rsid w:val="00E15655"/>
    <w:rsid w:val="00E276DA"/>
    <w:rsid w:val="00E417A6"/>
    <w:rsid w:val="00ED71E1"/>
    <w:rsid w:val="00F45E07"/>
    <w:rsid w:val="00F87FAE"/>
    <w:rsid w:val="00FA209B"/>
    <w:rsid w:val="00FB33EC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7DBF"/>
  <w15:docId w15:val="{2ECD18B1-8315-4BAD-84A6-CA8DA6D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0B7BEF"/>
  </w:style>
  <w:style w:type="paragraph" w:styleId="Prrafodelista">
    <w:name w:val="List Paragraph"/>
    <w:basedOn w:val="Normal"/>
    <w:uiPriority w:val="34"/>
    <w:qFormat/>
    <w:rsid w:val="00BE3F52"/>
    <w:pPr>
      <w:ind w:left="720"/>
      <w:contextualSpacing/>
    </w:pPr>
  </w:style>
  <w:style w:type="character" w:customStyle="1" w:styleId="Ninguno">
    <w:name w:val="Ninguno"/>
    <w:rsid w:val="00664F5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TJE</dc:creator>
  <cp:lastModifiedBy>Administrador</cp:lastModifiedBy>
  <cp:revision>2</cp:revision>
  <cp:lastPrinted>2021-03-15T14:20:00Z</cp:lastPrinted>
  <dcterms:created xsi:type="dcterms:W3CDTF">2021-04-09T20:26:00Z</dcterms:created>
  <dcterms:modified xsi:type="dcterms:W3CDTF">2021-04-09T20:26:00Z</dcterms:modified>
</cp:coreProperties>
</file>