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A" w:rsidRPr="00694A18" w:rsidRDefault="00A7242A" w:rsidP="00A7242A">
      <w:pPr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t>CARTA</w:t>
      </w:r>
      <w:r w:rsidRPr="00694A18">
        <w:rPr>
          <w:rFonts w:ascii="Arial" w:hAnsi="Arial" w:cs="Arial"/>
          <w:b/>
          <w:sz w:val="24"/>
          <w:szCs w:val="24"/>
        </w:rPr>
        <w:t xml:space="preserve"> </w:t>
      </w:r>
      <w:r w:rsidRPr="00694A18">
        <w:rPr>
          <w:rFonts w:ascii="Arial" w:hAnsi="Arial" w:cs="Arial"/>
          <w:b/>
          <w:sz w:val="24"/>
          <w:szCs w:val="24"/>
        </w:rPr>
        <w:t>INTERNACIONAL DE MORELIA</w:t>
      </w:r>
      <w:r w:rsidRPr="00694A18">
        <w:rPr>
          <w:rFonts w:ascii="Arial" w:hAnsi="Arial" w:cs="Arial"/>
          <w:b/>
          <w:sz w:val="24"/>
          <w:szCs w:val="24"/>
        </w:rPr>
        <w:t xml:space="preserve"> </w:t>
      </w:r>
      <w:r w:rsidRPr="00694A18">
        <w:rPr>
          <w:rFonts w:ascii="Arial" w:hAnsi="Arial" w:cs="Arial"/>
          <w:b/>
          <w:sz w:val="24"/>
          <w:szCs w:val="24"/>
        </w:rPr>
        <w:t>RELATIVA A CEMENTERIOS PATRIMONIALES Y ARTE FUNERARIO</w:t>
      </w:r>
      <w:r w:rsidRPr="00694A18">
        <w:rPr>
          <w:rFonts w:ascii="Arial" w:hAnsi="Arial" w:cs="Arial"/>
          <w:b/>
          <w:sz w:val="24"/>
          <w:szCs w:val="24"/>
        </w:rPr>
        <w:t xml:space="preserve"> </w:t>
      </w:r>
      <w:r w:rsidRPr="00694A18">
        <w:rPr>
          <w:rFonts w:ascii="Arial" w:hAnsi="Arial" w:cs="Arial"/>
          <w:b/>
          <w:sz w:val="24"/>
          <w:szCs w:val="24"/>
        </w:rPr>
        <w:t>Morelia, Michoacán a 2 de noviembre de 2005</w:t>
      </w:r>
    </w:p>
    <w:p w:rsidR="00A7242A" w:rsidRPr="00694A18" w:rsidRDefault="00A7242A" w:rsidP="00A7242A">
      <w:pPr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t>INTRODUCCIÓN</w:t>
      </w:r>
    </w:p>
    <w:p w:rsidR="00A7242A" w:rsidRPr="00694A18" w:rsidRDefault="00A7242A" w:rsidP="00A7242A">
      <w:pPr>
        <w:rPr>
          <w:rFonts w:ascii="Arial" w:hAnsi="Arial" w:cs="Arial"/>
          <w:b/>
          <w:sz w:val="24"/>
          <w:szCs w:val="24"/>
        </w:rPr>
      </w:pP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Los asistentes al VI Encuentro Iberoamericano y Primer Congreso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Internacional de Valoración y Gestión de Cementerios Patrimoniales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Arte Funerario auspiciado por la Universidad Autónoma Metropolitana,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Unidad Xochimilco y la Red Iberoamericana de Valoración y Gestión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 Cementerios Patrimoniales, reunidos del 27 de octubre al 2 de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noviembre de 2005 en los Centros Históricos de las ciudades de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México y Morelia, ambos Patrimonio Cultural de la Humanidad,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proponen a todos los interesados en el conocimiento, difusión,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valoración, preservación y apropiación social del patrimonio cultural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material e inmaterial, especialmente el relativo a sitios, monumentos,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conjuntos y elementos de carácter funerario y los usos, costumbres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 xml:space="preserve">manifestaciones culturales a ellos asociados, la presente </w:t>
      </w:r>
      <w:r w:rsidRPr="00694A18">
        <w:rPr>
          <w:rFonts w:ascii="Arial" w:hAnsi="Arial" w:cs="Arial"/>
          <w:sz w:val="24"/>
          <w:szCs w:val="24"/>
        </w:rPr>
        <w:t>r</w:t>
      </w:r>
      <w:r w:rsidRPr="00694A18">
        <w:rPr>
          <w:rFonts w:ascii="Arial" w:hAnsi="Arial" w:cs="Arial"/>
          <w:sz w:val="24"/>
          <w:szCs w:val="24"/>
        </w:rPr>
        <w:t>elativa a Cementerios Patrimoniales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Arte Funerario, con la que manifiestan un consenso de las reflexiones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que generó la creación en el año 2000 de la Cátedra UNESCO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“Gestión Integral del Patrimonio” (Universidad Nacional de Colombia,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Manizales) y los otros cinco encuentros anteriores a éste celebrados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en Medellín, Colombia (2000), Barquisimeto, Venezuela (2001),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Cuenca y Quito, Ecuador (2002), Lima y Cajamarca, Perú (2003)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Sucre, Bolivia (2004).</w:t>
      </w:r>
    </w:p>
    <w:p w:rsidR="00A7242A" w:rsidRPr="00694A18" w:rsidRDefault="00A7242A" w:rsidP="00A7242A">
      <w:pPr>
        <w:jc w:val="both"/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t>DEFINICIONES</w:t>
      </w:r>
      <w:r w:rsidR="00694A18" w:rsidRPr="00694A18">
        <w:rPr>
          <w:rFonts w:ascii="Arial" w:hAnsi="Arial" w:cs="Arial"/>
          <w:b/>
          <w:sz w:val="24"/>
          <w:szCs w:val="24"/>
        </w:rPr>
        <w:t xml:space="preserve"> </w:t>
      </w:r>
      <w:r w:rsidRPr="00694A18">
        <w:rPr>
          <w:rFonts w:ascii="Arial" w:hAnsi="Arial" w:cs="Arial"/>
          <w:b/>
          <w:sz w:val="24"/>
          <w:szCs w:val="24"/>
        </w:rPr>
        <w:t>Y OBJETIVOS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Los sitios, monumentos, conjuntos y elementos funerarios constituyen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un caso particular, poco valorado y menos atendido, del patrimonio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cultural material, acompañado a su vez por usos, costumbres, ritos,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conductas y manifestaciones de cada cultura en torno a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inevitabilidad de la muerte y la disposición de los restos humanos, lo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que constituye un patrimonio cultural inmaterial de igual importancia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y una de las manifestaciones de la diversidad cultural que han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acompañado al género humano desde tiempos muy remotos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seguirán acompañándolo hasta su extinción.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En ese contexto, la presente Carta se refiere no sólo al patrimonio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actual formado por arquitectura, objetos artísticos y costumbres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funerarias, sino a toda la variedad de manifestaciones de ese tipo en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distintas épocas y distintas culturas, y tiene por objeto refirmar 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derecho a la cultura en estos espacios funerarios y la conveniencia de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combinar la preservación de su autenticidad con la gestión en 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presente y el futuro. Con ese propósito, se formulan algunos principios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y criterios aplicables a su conocimiento, valoración y protección en 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ámbito internacional.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Los firmantes de la Carta reconocen la vigencia y validez de los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principios y las recomendaciones propuestos por la UNESCO, 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ICOMOS (Consejo Internacional de Monumentos y Sitios) y otros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organismos internacionales y multilaterales, en documentos tales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como la Carta de Venecia (ICOMOS, 1964), la Recomendación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lastRenderedPageBreak/>
        <w:t>relativa a la salvaguardia de los conjuntos históricos y su función en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vida contemporánea (UNESCO, Nairobi, 1970), la Recomendación</w:t>
      </w:r>
      <w:r w:rsidRPr="00694A18">
        <w:rPr>
          <w:rFonts w:ascii="Arial" w:hAnsi="Arial" w:cs="Arial"/>
          <w:sz w:val="24"/>
          <w:szCs w:val="24"/>
        </w:rPr>
        <w:t xml:space="preserve"> 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Carta Internacional de Morelia sobre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la Protección de Bienes Culturales Muebles (UNESCO, París,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1978), la Carta de Florencia sobre Jardines Históricos (ICOMOS, 1980)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la Carta de México sobre Políticas Culturales (UNESCO, 1982),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Declaración Universal Sobre Diversidad Cultural (UNESCO, 2001) y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Convención del Patrimonio Inmaterial (UNESCO, 2003), pero expresan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al mismo tiempo el deseo de lograr principios similares para el campo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específico de los sitios, monumentos, conjuntos, elementos, usos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costumbres funerarias.</w:t>
      </w:r>
    </w:p>
    <w:p w:rsidR="00A7242A" w:rsidRPr="00694A18" w:rsidRDefault="00A7242A" w:rsidP="00A7242A">
      <w:pPr>
        <w:jc w:val="both"/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t>TIPOLOGÍAS E IDENTIFICACIÓN.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Los sitios, monumentos, conjuntos, elementos, usos y costumbres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funerarios integran una gama amplia de tipos y manifestaciones de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patrimonio material e inmaterial: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1 Los sitios, porque forman paisajes y equipamientos urbanos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donde la arquitectura y el arte funerario constituyen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conjuntos, necrópolis, cementerios y otras manifestaciones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similares, en ubicaciones con mayor o menor significado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valor urbanístico respecto al territorio donde se encuentran.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2 Los monumentos, conjuntos y elementos arquitectónicos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(abiertos, cubiertos o subterráneos, públicos o privados),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vegetación asociada y los objetos culturales y artísticos allí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ubicados, porque forman géneros y tipos reconocibles según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las culturas y las épocas en que fueron concebidos,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materializados y utilizados al llevar incorporados mensajes,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imágenes, signos y símbolos de identidad y otros atributos</w:t>
      </w:r>
      <w:r w:rsidRPr="00694A18">
        <w:rPr>
          <w:rFonts w:ascii="Arial" w:hAnsi="Arial" w:cs="Arial"/>
          <w:sz w:val="24"/>
          <w:szCs w:val="24"/>
        </w:rPr>
        <w:t xml:space="preserve"> 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Carta Internacional de Morelia estrechamente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ligados a los valores de las sociedades que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los crearon y porque alcanzan dimensiones rituales, estéticas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o expresivas verdaderamente notables.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3 Los usos y costumbres funerarias, especialmente aquellas que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mejor caracterizan la actitud de cada cultura, época 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creencia ante la inevitabilidad de la muerte, porque ellas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acompañan y hacen uso del patrimonio cultural material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porque cada una da distinto testimonio de la riqueza cultural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y espiritual de los pueblos, así como del derecho a la cultura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y su diversidad que prevalecen en distintas regiones del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mundo.</w:t>
      </w:r>
    </w:p>
    <w:p w:rsidR="00694A18" w:rsidRDefault="00694A18" w:rsidP="00A7242A">
      <w:pPr>
        <w:jc w:val="both"/>
        <w:rPr>
          <w:rFonts w:ascii="Arial" w:hAnsi="Arial" w:cs="Arial"/>
          <w:sz w:val="24"/>
          <w:szCs w:val="24"/>
        </w:rPr>
      </w:pPr>
    </w:p>
    <w:p w:rsidR="00694A18" w:rsidRDefault="00694A18" w:rsidP="00A7242A">
      <w:pPr>
        <w:jc w:val="both"/>
        <w:rPr>
          <w:rFonts w:ascii="Arial" w:hAnsi="Arial" w:cs="Arial"/>
          <w:sz w:val="24"/>
          <w:szCs w:val="24"/>
        </w:rPr>
      </w:pPr>
    </w:p>
    <w:p w:rsidR="00694A18" w:rsidRDefault="00694A18" w:rsidP="00A7242A">
      <w:pPr>
        <w:jc w:val="both"/>
        <w:rPr>
          <w:rFonts w:ascii="Arial" w:hAnsi="Arial" w:cs="Arial"/>
          <w:sz w:val="24"/>
          <w:szCs w:val="24"/>
        </w:rPr>
      </w:pPr>
    </w:p>
    <w:p w:rsidR="00694A18" w:rsidRDefault="00694A18" w:rsidP="00A7242A">
      <w:pPr>
        <w:jc w:val="both"/>
        <w:rPr>
          <w:rFonts w:ascii="Arial" w:hAnsi="Arial" w:cs="Arial"/>
          <w:sz w:val="24"/>
          <w:szCs w:val="24"/>
        </w:rPr>
      </w:pPr>
    </w:p>
    <w:p w:rsidR="00A7242A" w:rsidRPr="00694A18" w:rsidRDefault="00A7242A" w:rsidP="00A7242A">
      <w:pPr>
        <w:jc w:val="both"/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lastRenderedPageBreak/>
        <w:t>PROBLEMAS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Los principales obstáculos para la adecuada preservación y uso social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del patrimonio cultural funerario provienen de: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1 Las oposiciones entre la memoria y el olvido, la vitalidad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permanencia de las culturas funerarias frente al cambio y/o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el demérito de los valores culturales relacionados con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muerte.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2 Deterioros debido al transcurso inexorable del tiempo y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falta de mantenimiento de los monumentos, conjuntos,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elementos funerarios, objetos culturales y artísticos.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3 Problemas de insuficiencia de espacio, dotación 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capacidad de los cementerios y equipamientos funerarios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frente al cre</w:t>
      </w:r>
      <w:r w:rsidRPr="00694A18">
        <w:rPr>
          <w:rFonts w:ascii="Arial" w:hAnsi="Arial" w:cs="Arial"/>
          <w:sz w:val="24"/>
          <w:szCs w:val="24"/>
        </w:rPr>
        <w:t>cimiento demográfico acelerado.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4 Cambio de posición de los equipamientos funerarios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respecto a los márgenes de la ciudad como resultado de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expansión urbana.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5 Cambios graduales en los usos, costumbres y la normatividad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relativas a lo funerario.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6 Alteraciones o daños al patrimonio natural asociado a estos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sitios.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7 Problemas derivados de las insuficiencias en los instrumentos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 normatividad, gestión, salvaguarda y financiación.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8 Deterioros y daños súbitos a sitios, monumentos, conjuntos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elementos funerarios por desastres de origen natural (sismos,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inundaciones, entre otros) o provocados por la acción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humana o institucional (conflictos regionales, nacionales 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internacionales).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MEDIDAS E INSTRUMENTOS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Para contrarrestar los procesos de deterioro y destrucción del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patrimonio funerario, se requiere, cuando menos: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1 Formular estrategias que permitan elaborar y desarrollar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instrumentos interdisciplinarios de identificación, ubicación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catalogación crítica de sitios, monumentos, conjuntos,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elementos, objetos culturales y artísticos, vegetación, usos y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costumbres funerarios existentes, asegurando la participación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plena de los actores sociales involucrados.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2 Registrar y evaluar las formas y procedimientos de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intervención en el patrimonio funerario material e inmaterial.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3 Conocer, apoyar y estimular la continuidad y evolución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gradual de los usos y costumbres funerarias y sus tradiciones.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4 Fomentar el buen uso de los espacios y sitios funerarios,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particularmente cuando éstos se incorporen a rutas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culturales o programas de desarrollo turístico.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lastRenderedPageBreak/>
        <w:t>5 Actualizar y reformar si es necesario el marco legal,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normativo y de gestión propicio para la preservación del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patrimonio funerario material e inmaterial.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6 Generar instrumentos de manejo y gestión que aseguren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sostenibilidad económica y social de estos lugares.</w:t>
      </w:r>
    </w:p>
    <w:p w:rsidR="00A7242A" w:rsidRPr="00694A18" w:rsidRDefault="00A7242A" w:rsidP="00A7242A">
      <w:pPr>
        <w:jc w:val="both"/>
        <w:rPr>
          <w:rFonts w:ascii="Arial" w:hAnsi="Arial" w:cs="Arial"/>
          <w:b/>
          <w:sz w:val="24"/>
          <w:szCs w:val="24"/>
        </w:rPr>
      </w:pPr>
      <w:r w:rsidRPr="00694A18">
        <w:rPr>
          <w:rFonts w:ascii="Arial" w:hAnsi="Arial" w:cs="Arial"/>
          <w:b/>
          <w:sz w:val="24"/>
          <w:szCs w:val="24"/>
        </w:rPr>
        <w:t>INVESTIGACIÓN, FORMACIÓN Y COOPERACIÓN INTERNACIONAL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Al mismo tiempo, los firmantes de esta carta apoyan expresamente:</w:t>
      </w:r>
      <w:bookmarkStart w:id="0" w:name="_GoBack"/>
      <w:bookmarkEnd w:id="0"/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1 La divulgación de este documento y de otros afines relativos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 la preservación y difusión del patrimonio funerario.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2 La inserción de contenidos sobre estos temas en los sistemas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 xml:space="preserve">formales e informales de educación: </w:t>
      </w:r>
      <w:proofErr w:type="spellStart"/>
      <w:r w:rsidRPr="00694A18">
        <w:rPr>
          <w:rFonts w:ascii="Arial" w:hAnsi="Arial" w:cs="Arial"/>
          <w:sz w:val="24"/>
          <w:szCs w:val="24"/>
        </w:rPr>
        <w:t>currícula</w:t>
      </w:r>
      <w:proofErr w:type="spellEnd"/>
      <w:r w:rsidRPr="00694A18">
        <w:rPr>
          <w:rFonts w:ascii="Arial" w:hAnsi="Arial" w:cs="Arial"/>
          <w:sz w:val="24"/>
          <w:szCs w:val="24"/>
        </w:rPr>
        <w:t xml:space="preserve"> de estudios en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diversos niveles, “cátedras UNESCO” en la materia, reuniones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 expertos o grupos de la sociedad civil, eventos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museológicos y turismo cultural.</w:t>
      </w:r>
    </w:p>
    <w:p w:rsidR="00A7242A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3 La apertura de un campo de investigación específico en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materia, suficientemente provisto de recursos, que permita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formación y mantenimiento de redes de interesados, bases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de datos y otras herramientas de consulta.</w:t>
      </w:r>
    </w:p>
    <w:p w:rsidR="00520332" w:rsidRPr="00694A18" w:rsidRDefault="00A7242A" w:rsidP="00A7242A">
      <w:pPr>
        <w:jc w:val="both"/>
        <w:rPr>
          <w:rFonts w:ascii="Arial" w:hAnsi="Arial" w:cs="Arial"/>
          <w:sz w:val="24"/>
          <w:szCs w:val="24"/>
        </w:rPr>
      </w:pPr>
      <w:r w:rsidRPr="00694A18">
        <w:rPr>
          <w:rFonts w:ascii="Arial" w:hAnsi="Arial" w:cs="Arial"/>
          <w:sz w:val="24"/>
          <w:szCs w:val="24"/>
        </w:rPr>
        <w:t>4 Propiciar mecanismos de cooperación cultural internacional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para proteger el patrimonio funerario a través del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intercambio de experiencias de los países adherentes,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exhortando al Centro del Patrimonio Mundial de la UNESCO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a la creación de una instancia especializada en la</w:t>
      </w:r>
      <w:r w:rsidRPr="00694A18">
        <w:rPr>
          <w:rFonts w:ascii="Arial" w:hAnsi="Arial" w:cs="Arial"/>
          <w:sz w:val="24"/>
          <w:szCs w:val="24"/>
        </w:rPr>
        <w:t xml:space="preserve"> </w:t>
      </w:r>
      <w:r w:rsidRPr="00694A18">
        <w:rPr>
          <w:rFonts w:ascii="Arial" w:hAnsi="Arial" w:cs="Arial"/>
          <w:sz w:val="24"/>
          <w:szCs w:val="24"/>
        </w:rPr>
        <w:t>preservación del patrimonio funerario</w:t>
      </w:r>
    </w:p>
    <w:sectPr w:rsidR="00520332" w:rsidRPr="00694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A"/>
    <w:rsid w:val="00520332"/>
    <w:rsid w:val="00694A18"/>
    <w:rsid w:val="00A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2298-7396-4901-BB10-072B1AF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Fajardo / Archivo Histórico Municipal</dc:creator>
  <cp:keywords/>
  <dc:description/>
  <cp:lastModifiedBy>Eliseo Fajardo / Archivo Histórico Municipal</cp:lastModifiedBy>
  <cp:revision>1</cp:revision>
  <dcterms:created xsi:type="dcterms:W3CDTF">2016-06-14T15:58:00Z</dcterms:created>
  <dcterms:modified xsi:type="dcterms:W3CDTF">2016-06-14T16:11:00Z</dcterms:modified>
</cp:coreProperties>
</file>